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803" w:firstLineChars="200"/>
        <w:jc w:val="center"/>
        <w:textAlignment w:val="auto"/>
        <w:rPr>
          <w:rFonts w:hint="eastAsia" w:ascii="仿宋_GB2312" w:hAnsi="仿宋_GB2312" w:eastAsia="仿宋_GB2312" w:cs="仿宋_GB2312"/>
          <w:b/>
          <w:bCs/>
          <w:snapToGrid/>
          <w:kern w:val="2"/>
          <w:sz w:val="32"/>
          <w:szCs w:val="32"/>
          <w:lang w:val="en-US" w:eastAsia="zh-CN" w:bidi="ar-SA"/>
        </w:rPr>
      </w:pPr>
      <w:r>
        <w:rPr>
          <w:rFonts w:hint="eastAsia" w:ascii="仿宋_GB2312" w:hAnsi="仿宋_GB2312" w:eastAsia="仿宋_GB2312" w:cs="仿宋_GB2312"/>
          <w:b/>
          <w:bCs/>
          <w:snapToGrid/>
          <w:kern w:val="2"/>
          <w:sz w:val="40"/>
          <w:szCs w:val="40"/>
          <w:lang w:val="en-US" w:eastAsia="zh-CN" w:bidi="ar-SA"/>
        </w:rPr>
        <w:t>法律顾问服务要求</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803" w:firstLineChars="200"/>
        <w:jc w:val="center"/>
        <w:textAlignment w:val="auto"/>
        <w:rPr>
          <w:rFonts w:hint="eastAsia" w:ascii="仿宋_GB2312" w:hAnsi="仿宋_GB2312" w:eastAsia="仿宋_GB2312" w:cs="仿宋_GB2312"/>
          <w:b/>
          <w:bCs/>
          <w:snapToGrid/>
          <w:kern w:val="2"/>
          <w:sz w:val="40"/>
          <w:szCs w:val="40"/>
          <w:lang w:val="en-US" w:eastAsia="zh-CN" w:bidi="ar-SA"/>
        </w:rPr>
      </w:pP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一、项目概况：</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为推进依法治院，规范医院管理，防范法律风险，拟聘请一家律师事务所担任我院</w:t>
      </w:r>
      <w:bookmarkStart w:id="0" w:name="_GoBack"/>
      <w:bookmarkEnd w:id="0"/>
      <w:r>
        <w:rPr>
          <w:rFonts w:hint="eastAsia" w:ascii="仿宋_GB2312" w:hAnsi="仿宋_GB2312" w:eastAsia="仿宋_GB2312" w:cs="仿宋_GB2312"/>
          <w:snapToGrid/>
          <w:kern w:val="2"/>
          <w:sz w:val="32"/>
          <w:szCs w:val="32"/>
          <w:lang w:val="en-US" w:eastAsia="zh-CN" w:bidi="ar-SA"/>
        </w:rPr>
        <w:t>法律顾问服务单位，服务期限为</w:t>
      </w:r>
      <w:r>
        <w:rPr>
          <w:rFonts w:hint="eastAsia" w:ascii="仿宋_GB2312" w:hAnsi="仿宋_GB2312" w:eastAsia="仿宋_GB2312" w:cs="仿宋_GB2312"/>
          <w:snapToGrid/>
          <w:kern w:val="2"/>
          <w:sz w:val="32"/>
          <w:szCs w:val="32"/>
          <w:lang w:val="en-US" w:eastAsia="zh-CN" w:bidi="ar-SA"/>
        </w:rPr>
        <w:t>2年。</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二、项目服务内容：</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1.参与重大项目谈判；为医院医疗服务、经营管理及物资采购等方面的重大决策、相关问题和对外联系中的重要问题进行法律论证，提供法律意见、出具法律意见书；</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2.就医院可能发生的医疗纠纷，进行法律论证，提出解决方案，出具律师函，发表初步的或前期所需要的律师意见，或者参与非诉讼谈判、协调、调解、和解；</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3.参与处理医院尚未形成诉讼或仲裁的民事、经济、行政争议或其他重大纠纷,提供法律意见和处理方案;指导单位建立完善诉讼、仲裁应对机制,包括证据搜集、内部配合机制等一系列应对策略；</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4.审查、起草、修改医院在医疗服务、经营管理、物资采购等活动中的合同、协议及其他有关法律文书；就医院内部管理制度提供法律建议，协助医院增强内部管理的规范性和可操作性。</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5.协助医院构建依法治院工作体系，参与依法治院、法制建设等重大活动；</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6.完善归档相关档案材料；每年根据医院法律服务工作内容，梳理工作总结，为医院提出法治建设工作方面的改进措施或建议；</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7.为医院在医务服务、人事管理、行政管理和教学科研管理等方面常见法律问题提供咨询建议；</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8.为医院职工进行法治宣传教育和法律培训，每年不少于一次；</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9.服务期结束后，律师事务所应对服务期内未完成的服务内容给予持续法律服务，对医院提出的服务期内的相关服务内容的疑问给予解答。</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10.办理双方商定的医院所需的其它日常法律事务。</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3" w:firstLineChars="200"/>
        <w:jc w:val="both"/>
        <w:textAlignment w:val="auto"/>
        <w:rPr>
          <w:rFonts w:hint="eastAsia" w:ascii="仿宋_GB2312" w:hAnsi="仿宋_GB2312" w:eastAsia="仿宋_GB2312" w:cs="仿宋_GB2312"/>
          <w:b/>
          <w:bCs/>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三、项目服务要求标准：</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1.律师事务所需指定业务能力强、具有医学专业背景的资深律师牵头或作为重要成员组成的律师团队担任医院的法律顾问，本着高效、勤勉、尽责的原则完成医院委托的法律事务；</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2.普通法律咨询(主要通过OA协同办公、通信媒介、传真及电子邮件联系)保证随时提供医院法律需求，成交供应商须提供7×24小时的服务。一般情况下，应当在24小时以内到达现场或者出具法律意见，紧急需求应当在2小时以内到达现场或者出具法律意见；</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3.遇有紧急或重要情况需上门提供法律咨询和服务的，保证律师现场办公；</w:t>
      </w:r>
    </w:p>
    <w:p>
      <w:pPr>
        <w:spacing w:line="520" w:lineRule="exact"/>
        <w:ind w:firstLine="640" w:firstLineChars="200"/>
        <w:rPr>
          <w:rFonts w:ascii="仿宋_GB2312" w:hAnsi="黑体" w:eastAsia="仿宋_GB2312"/>
          <w:sz w:val="32"/>
          <w:szCs w:val="32"/>
        </w:rPr>
      </w:pPr>
      <w:r>
        <w:rPr>
          <w:rFonts w:hint="eastAsia" w:ascii="仿宋_GB2312" w:hAnsi="仿宋_GB2312" w:eastAsia="仿宋_GB2312" w:cs="仿宋_GB2312"/>
          <w:snapToGrid/>
          <w:kern w:val="2"/>
          <w:sz w:val="32"/>
          <w:szCs w:val="32"/>
          <w:lang w:val="en-US" w:eastAsia="zh-CN" w:bidi="ar-SA"/>
        </w:rPr>
        <w:t>4.对医院运营中所有涉及法律相关的法律问题</w:t>
      </w:r>
      <w:r>
        <w:rPr>
          <w:rFonts w:hint="eastAsia" w:ascii="仿宋_GB2312" w:hAnsi="黑体" w:eastAsia="仿宋_GB2312"/>
          <w:sz w:val="32"/>
          <w:szCs w:val="32"/>
        </w:rPr>
        <w:t>提供法律意见或处理办法</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并对相关事宜保密</w:t>
      </w:r>
      <w:r>
        <w:rPr>
          <w:rFonts w:hint="eastAsia" w:ascii="仿宋_GB2312" w:hAnsi="黑体" w:eastAsia="仿宋_GB2312"/>
          <w:sz w:val="32"/>
          <w:szCs w:val="32"/>
        </w:rPr>
        <w:t>。</w:t>
      </w:r>
    </w:p>
    <w:p>
      <w:pPr>
        <w:pStyle w:val="9"/>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5.其它工作内容应及时完成，并应在法定时限内留给医院充分的时间进行相关事项的审查、考虑和决策。</w:t>
      </w:r>
    </w:p>
    <w:p>
      <w:pPr>
        <w:spacing w:before="246" w:line="240" w:lineRule="auto"/>
        <w:ind w:left="599" w:firstLine="650"/>
        <w:jc w:val="both"/>
        <w:rPr>
          <w:rFonts w:hint="eastAsia" w:ascii="仿宋_GB2312" w:hAnsi="仿宋_GB2312" w:eastAsia="仿宋_GB2312" w:cs="仿宋_GB2312"/>
          <w:spacing w:val="-6"/>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12C9C"/>
    <w:rsid w:val="084F33CB"/>
    <w:rsid w:val="087B5F6E"/>
    <w:rsid w:val="0A736F45"/>
    <w:rsid w:val="0B683F75"/>
    <w:rsid w:val="13C7650B"/>
    <w:rsid w:val="157955E3"/>
    <w:rsid w:val="17A524D6"/>
    <w:rsid w:val="1815603A"/>
    <w:rsid w:val="18B57204"/>
    <w:rsid w:val="18E00334"/>
    <w:rsid w:val="22A939AB"/>
    <w:rsid w:val="23E10F23"/>
    <w:rsid w:val="25B16263"/>
    <w:rsid w:val="25D4690F"/>
    <w:rsid w:val="298D3E31"/>
    <w:rsid w:val="2C2A19EE"/>
    <w:rsid w:val="42620C3C"/>
    <w:rsid w:val="477F442B"/>
    <w:rsid w:val="479706D1"/>
    <w:rsid w:val="4CE74F4D"/>
    <w:rsid w:val="4DC6411C"/>
    <w:rsid w:val="4F9D281D"/>
    <w:rsid w:val="506802A5"/>
    <w:rsid w:val="569577C7"/>
    <w:rsid w:val="58823736"/>
    <w:rsid w:val="5945591D"/>
    <w:rsid w:val="5AB979E9"/>
    <w:rsid w:val="6252656D"/>
    <w:rsid w:val="660E74B9"/>
    <w:rsid w:val="679604FB"/>
    <w:rsid w:val="69D804DC"/>
    <w:rsid w:val="69F543AD"/>
    <w:rsid w:val="6CE40709"/>
    <w:rsid w:val="6FD759B1"/>
    <w:rsid w:val="75481873"/>
    <w:rsid w:val="7601406D"/>
    <w:rsid w:val="7A980839"/>
    <w:rsid w:val="7E7A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3"/>
    <w:basedOn w:val="1"/>
    <w:next w:val="5"/>
    <w:qFormat/>
    <w:uiPriority w:val="99"/>
    <w:pPr>
      <w:keepNext/>
      <w:keepLines/>
      <w:widowControl/>
      <w:numPr>
        <w:ilvl w:val="2"/>
        <w:numId w:val="1"/>
      </w:numPr>
      <w:spacing w:before="120" w:after="120" w:line="360" w:lineRule="auto"/>
      <w:jc w:val="center"/>
      <w:outlineLvl w:val="2"/>
    </w:pPr>
    <w:rPr>
      <w:rFonts w:ascii="Times New Roman" w:hAnsi="Times New Roman" w:eastAsia="宋体" w:cs="Times New Roman"/>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snapToGrid w:val="0"/>
      <w:jc w:val="left"/>
    </w:pPr>
    <w:rPr>
      <w:sz w:val="18"/>
      <w:szCs w:val="18"/>
    </w:rPr>
  </w:style>
  <w:style w:type="paragraph" w:styleId="3">
    <w:name w:val="Date"/>
    <w:basedOn w:val="1"/>
    <w:next w:val="1"/>
    <w:qFormat/>
    <w:uiPriority w:val="0"/>
    <w:pPr>
      <w:pBdr>
        <w:top w:val="none" w:color="auto" w:sz="0" w:space="0"/>
        <w:left w:val="none" w:color="auto" w:sz="0" w:space="0"/>
        <w:bottom w:val="none" w:color="auto" w:sz="0" w:space="0"/>
        <w:right w:val="none" w:color="auto" w:sz="0" w:space="0"/>
        <w:between w:val="none" w:color="auto" w:sz="0" w:space="0"/>
      </w:pBdr>
      <w:ind w:left="100" w:leftChars="2500"/>
      <w:jc w:val="left"/>
    </w:pPr>
    <w:rPr>
      <w:rFonts w:ascii="Times New Roman" w:hAnsi="Times New Roman" w:eastAsia="宋体" w:cs="Times New Roman"/>
      <w:szCs w:val="24"/>
      <w:lang w:val="en-US" w:eastAsia="en-US"/>
    </w:rPr>
  </w:style>
  <w:style w:type="paragraph" w:styleId="5">
    <w:name w:val="Normal Indent"/>
    <w:basedOn w:val="1"/>
    <w:unhideWhenUsed/>
    <w:qFormat/>
    <w:uiPriority w:val="99"/>
    <w:pPr>
      <w:ind w:firstLine="420" w:firstLineChars="200"/>
    </w:pPr>
  </w:style>
  <w:style w:type="paragraph" w:customStyle="1" w:styleId="8">
    <w:name w:val="标题 5（有编号）（绿盟科技）"/>
    <w:basedOn w:val="1"/>
    <w:next w:val="1"/>
    <w:qFormat/>
    <w:uiPriority w:val="0"/>
    <w:pPr>
      <w:keepNext/>
      <w:keepLines/>
      <w:spacing w:before="280" w:after="156" w:line="377" w:lineRule="auto"/>
      <w:jc w:val="left"/>
      <w:outlineLvl w:val="4"/>
    </w:pPr>
    <w:rPr>
      <w:rFonts w:ascii="Arial" w:hAnsi="Arial" w:eastAsia="黑体"/>
      <w:b/>
      <w:kern w:val="0"/>
      <w:sz w:val="24"/>
      <w:szCs w:val="2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1061</Words>
  <Characters>1092</Characters>
  <Lines>0</Lines>
  <Paragraphs>0</Paragraphs>
  <TotalTime>0</TotalTime>
  <ScaleCrop>false</ScaleCrop>
  <LinksUpToDate>false</LinksUpToDate>
  <CharactersWithSpaces>1092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2025-05-29T01:54:00Z</dcterms:created>
  <dc:creator>lenovo</dc:creator>
  <cp:lastModifiedBy>user</cp:lastModifiedBy>
  <dcterms:modified xsi:type="dcterms:W3CDTF">2025-07-17T08:52:24Z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TemplateDocerSaveRecord">
    <vt:lpwstr>eyJoZGlkIjoiMjkyMzQxZDJmN2FmNzU0YzI0NWNjNTdlMWEyYzkyOGUiLCJ1c2VySWQiOiI2MDM3MzA0MTUifQ==</vt:lpwstr>
  </property>
  <property fmtid="{D5CDD505-2E9C-101B-9397-08002B2CF9AE}" pid="4" name="ICV">
    <vt:lpwstr>00223DC43C6548CF83F0A02A40C0D9D0_13</vt:lpwstr>
  </property>
</Properties>
</file>